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4CA9" w14:textId="77777777" w:rsidR="00152C46" w:rsidRPr="00557292" w:rsidRDefault="004B3772">
      <w:pPr>
        <w:rPr>
          <w:rFonts w:ascii="Arial Narrow" w:hAnsi="Arial Narrow"/>
        </w:rPr>
      </w:pPr>
      <w:r w:rsidRPr="00557292">
        <w:rPr>
          <w:rFonts w:ascii="Arial Narrow" w:hAnsi="Arial Narrow"/>
        </w:rPr>
        <w:t>October 2, 2018</w:t>
      </w:r>
    </w:p>
    <w:p w14:paraId="05FDFAFE" w14:textId="77777777" w:rsidR="004B3772" w:rsidRDefault="004B3772"/>
    <w:p w14:paraId="7B929599" w14:textId="77777777" w:rsidR="002724D7" w:rsidRPr="00557292" w:rsidRDefault="004B3772">
      <w:pPr>
        <w:rPr>
          <w:rFonts w:ascii="Arial Narrow" w:hAnsi="Arial Narrow"/>
        </w:rPr>
      </w:pPr>
      <w:r w:rsidRPr="00557292">
        <w:rPr>
          <w:rFonts w:ascii="Arial Narrow" w:hAnsi="Arial Narrow"/>
        </w:rPr>
        <w:t>Dear Parents/Guardians:</w:t>
      </w:r>
    </w:p>
    <w:p w14:paraId="4181F8AE" w14:textId="77777777" w:rsidR="004B3772" w:rsidRPr="00557292" w:rsidRDefault="004B3772">
      <w:pPr>
        <w:rPr>
          <w:rFonts w:ascii="Arial Narrow" w:hAnsi="Arial Narrow"/>
        </w:rPr>
      </w:pPr>
    </w:p>
    <w:p w14:paraId="322E0CD8" w14:textId="77777777" w:rsidR="00D57682" w:rsidRPr="00557292" w:rsidRDefault="0075068D" w:rsidP="00557292">
      <w:pPr>
        <w:spacing w:line="240" w:lineRule="auto"/>
        <w:rPr>
          <w:rFonts w:ascii="Arial Narrow" w:hAnsi="Arial Narrow"/>
        </w:rPr>
      </w:pPr>
      <w:r w:rsidRPr="00557292">
        <w:rPr>
          <w:rFonts w:ascii="Arial Narrow" w:hAnsi="Arial Narrow"/>
        </w:rPr>
        <w:t>As indicated during our first PTA meeting on September 26</w:t>
      </w:r>
      <w:r w:rsidRPr="00557292">
        <w:rPr>
          <w:rFonts w:ascii="Arial Narrow" w:hAnsi="Arial Narrow"/>
          <w:vertAlign w:val="superscript"/>
        </w:rPr>
        <w:t>th</w:t>
      </w:r>
      <w:r w:rsidR="00D8262B" w:rsidRPr="00557292">
        <w:rPr>
          <w:rFonts w:ascii="Arial Narrow" w:hAnsi="Arial Narrow"/>
        </w:rPr>
        <w:t xml:space="preserve">; we are a team that works together in order to support our school community. Hence, </w:t>
      </w:r>
      <w:r w:rsidR="004B3772" w:rsidRPr="00557292">
        <w:rPr>
          <w:rFonts w:ascii="Arial Narrow" w:hAnsi="Arial Narrow"/>
        </w:rPr>
        <w:t>due to the</w:t>
      </w:r>
      <w:r w:rsidR="00D8262B" w:rsidRPr="00557292">
        <w:rPr>
          <w:rFonts w:ascii="Arial Narrow" w:hAnsi="Arial Narrow"/>
        </w:rPr>
        <w:t xml:space="preserve"> expressed interest and need to bring in an after school</w:t>
      </w:r>
      <w:r w:rsidR="004B3772" w:rsidRPr="00557292">
        <w:rPr>
          <w:rFonts w:ascii="Arial Narrow" w:hAnsi="Arial Narrow"/>
        </w:rPr>
        <w:t xml:space="preserve"> program to serve our children </w:t>
      </w:r>
      <w:r w:rsidR="003514B4">
        <w:rPr>
          <w:rFonts w:ascii="Arial Narrow" w:hAnsi="Arial Narrow"/>
        </w:rPr>
        <w:t>in grades K-5</w:t>
      </w:r>
      <w:r w:rsidR="003514B4" w:rsidRPr="003514B4">
        <w:rPr>
          <w:rFonts w:ascii="Arial Narrow" w:hAnsi="Arial Narrow"/>
          <w:vertAlign w:val="superscript"/>
        </w:rPr>
        <w:t>th</w:t>
      </w:r>
      <w:r w:rsidR="003514B4">
        <w:rPr>
          <w:rFonts w:ascii="Arial Narrow" w:hAnsi="Arial Narrow"/>
        </w:rPr>
        <w:t xml:space="preserve"> </w:t>
      </w:r>
      <w:r w:rsidR="004B3772" w:rsidRPr="00557292">
        <w:rPr>
          <w:rFonts w:ascii="Arial Narrow" w:hAnsi="Arial Narrow"/>
        </w:rPr>
        <w:t xml:space="preserve">we have opted to go with Queens Community House, (QCH), in efforts to address this need. </w:t>
      </w:r>
      <w:r w:rsidR="00D8262B" w:rsidRPr="00557292">
        <w:rPr>
          <w:rFonts w:ascii="Arial Narrow" w:hAnsi="Arial Narrow"/>
        </w:rPr>
        <w:t>While we understand that the best option would be a completely free program</w:t>
      </w:r>
      <w:r w:rsidR="00D57682" w:rsidRPr="00557292">
        <w:rPr>
          <w:rFonts w:ascii="Arial Narrow" w:hAnsi="Arial Narrow"/>
        </w:rPr>
        <w:t>;</w:t>
      </w:r>
      <w:r w:rsidR="00D8262B" w:rsidRPr="00557292">
        <w:rPr>
          <w:rFonts w:ascii="Arial Narrow" w:hAnsi="Arial Narrow"/>
        </w:rPr>
        <w:t xml:space="preserve"> that is not something that is currently available. </w:t>
      </w:r>
    </w:p>
    <w:p w14:paraId="2BAF87F2" w14:textId="77777777" w:rsidR="00D57682" w:rsidRPr="00557292" w:rsidRDefault="00D57682" w:rsidP="00557292">
      <w:pPr>
        <w:spacing w:line="240" w:lineRule="auto"/>
        <w:rPr>
          <w:rFonts w:ascii="Arial Narrow" w:hAnsi="Arial Narrow"/>
        </w:rPr>
      </w:pPr>
      <w:r w:rsidRPr="00557292">
        <w:rPr>
          <w:rFonts w:ascii="Arial Narrow" w:hAnsi="Arial Narrow"/>
        </w:rPr>
        <w:t>Because there has been a significant amount of communication during the last few weeks</w:t>
      </w:r>
      <w:r w:rsidR="008E057C" w:rsidRPr="00557292">
        <w:rPr>
          <w:rFonts w:ascii="Arial Narrow" w:hAnsi="Arial Narrow"/>
        </w:rPr>
        <w:t>, we feel that it would be best to hold an</w:t>
      </w:r>
      <w:r w:rsidR="008E057C" w:rsidRPr="00557292">
        <w:rPr>
          <w:rFonts w:ascii="Arial Narrow" w:hAnsi="Arial Narrow"/>
          <w:b/>
        </w:rPr>
        <w:t xml:space="preserve"> Information </w:t>
      </w:r>
      <w:r w:rsidRPr="00557292">
        <w:rPr>
          <w:rFonts w:ascii="Arial Narrow" w:hAnsi="Arial Narrow"/>
          <w:b/>
        </w:rPr>
        <w:t xml:space="preserve">Session </w:t>
      </w:r>
      <w:r w:rsidR="008E057C" w:rsidRPr="00557292">
        <w:rPr>
          <w:rFonts w:ascii="Arial Narrow" w:hAnsi="Arial Narrow"/>
        </w:rPr>
        <w:t>wh</w:t>
      </w:r>
      <w:r w:rsidRPr="00557292">
        <w:rPr>
          <w:rFonts w:ascii="Arial Narrow" w:hAnsi="Arial Narrow"/>
        </w:rPr>
        <w:t>ere</w:t>
      </w:r>
      <w:r w:rsidR="008E057C" w:rsidRPr="00557292">
        <w:rPr>
          <w:rFonts w:ascii="Arial Narrow" w:hAnsi="Arial Narrow"/>
        </w:rPr>
        <w:t xml:space="preserve"> those who are interested in learning and/or registering their child</w:t>
      </w:r>
      <w:r w:rsidRPr="00557292">
        <w:rPr>
          <w:rFonts w:ascii="Arial Narrow" w:hAnsi="Arial Narrow"/>
        </w:rPr>
        <w:t>(ren)</w:t>
      </w:r>
      <w:r w:rsidR="008E057C" w:rsidRPr="00557292">
        <w:rPr>
          <w:rFonts w:ascii="Arial Narrow" w:hAnsi="Arial Narrow"/>
        </w:rPr>
        <w:t xml:space="preserve"> for </w:t>
      </w:r>
      <w:r w:rsidR="003514B4">
        <w:rPr>
          <w:rFonts w:ascii="Arial Narrow" w:hAnsi="Arial Narrow"/>
        </w:rPr>
        <w:t xml:space="preserve">the </w:t>
      </w:r>
      <w:proofErr w:type="gramStart"/>
      <w:r w:rsidRPr="00557292">
        <w:rPr>
          <w:rFonts w:ascii="Arial Narrow" w:hAnsi="Arial Narrow"/>
        </w:rPr>
        <w:t>after school</w:t>
      </w:r>
      <w:proofErr w:type="gramEnd"/>
      <w:r w:rsidRPr="00557292">
        <w:rPr>
          <w:rFonts w:ascii="Arial Narrow" w:hAnsi="Arial Narrow"/>
        </w:rPr>
        <w:t xml:space="preserve"> </w:t>
      </w:r>
      <w:r w:rsidR="008E057C" w:rsidRPr="00557292">
        <w:rPr>
          <w:rFonts w:ascii="Arial Narrow" w:hAnsi="Arial Narrow"/>
        </w:rPr>
        <w:t>pr</w:t>
      </w:r>
      <w:r w:rsidRPr="00557292">
        <w:rPr>
          <w:rFonts w:ascii="Arial Narrow" w:hAnsi="Arial Narrow"/>
        </w:rPr>
        <w:t xml:space="preserve">ogram can attend.  </w:t>
      </w:r>
    </w:p>
    <w:p w14:paraId="07FF21B7" w14:textId="77777777" w:rsidR="008E057C" w:rsidRPr="00557292" w:rsidRDefault="00D57682" w:rsidP="00557292">
      <w:pPr>
        <w:spacing w:line="240" w:lineRule="auto"/>
        <w:jc w:val="center"/>
        <w:rPr>
          <w:rFonts w:ascii="Arial Narrow" w:hAnsi="Arial Narrow"/>
          <w:u w:val="single"/>
        </w:rPr>
      </w:pPr>
      <w:r w:rsidRPr="00557292">
        <w:rPr>
          <w:rFonts w:ascii="Arial Narrow" w:hAnsi="Arial Narrow"/>
          <w:b/>
          <w:u w:val="single"/>
        </w:rPr>
        <w:t>Information Session</w:t>
      </w:r>
      <w:r w:rsidRPr="00557292">
        <w:rPr>
          <w:rFonts w:ascii="Arial Narrow" w:hAnsi="Arial Narrow"/>
          <w:u w:val="single"/>
        </w:rPr>
        <w:t xml:space="preserve"> to</w:t>
      </w:r>
      <w:r w:rsidR="008E057C" w:rsidRPr="00557292">
        <w:rPr>
          <w:rFonts w:ascii="Arial Narrow" w:hAnsi="Arial Narrow"/>
          <w:u w:val="single"/>
        </w:rPr>
        <w:t xml:space="preserve"> be held on:</w:t>
      </w:r>
    </w:p>
    <w:p w14:paraId="61BD11F1" w14:textId="77777777" w:rsidR="008E057C" w:rsidRPr="00557292" w:rsidRDefault="008E057C" w:rsidP="00557292">
      <w:pPr>
        <w:spacing w:line="240" w:lineRule="auto"/>
        <w:jc w:val="center"/>
        <w:rPr>
          <w:rFonts w:ascii="Arial Narrow" w:hAnsi="Arial Narrow"/>
        </w:rPr>
      </w:pPr>
      <w:r w:rsidRPr="00557292">
        <w:rPr>
          <w:rFonts w:ascii="Arial Narrow" w:hAnsi="Arial Narrow"/>
        </w:rPr>
        <w:t xml:space="preserve">Date: October </w:t>
      </w:r>
      <w:r w:rsidR="00D57682" w:rsidRPr="00557292">
        <w:rPr>
          <w:rFonts w:ascii="Arial Narrow" w:hAnsi="Arial Narrow"/>
        </w:rPr>
        <w:t>12th, 2018</w:t>
      </w:r>
    </w:p>
    <w:p w14:paraId="2D6627B0" w14:textId="77777777" w:rsidR="008E057C" w:rsidRPr="00557292" w:rsidRDefault="008E057C" w:rsidP="00557292">
      <w:pPr>
        <w:spacing w:line="240" w:lineRule="auto"/>
        <w:jc w:val="center"/>
        <w:rPr>
          <w:rFonts w:ascii="Arial Narrow" w:hAnsi="Arial Narrow"/>
        </w:rPr>
      </w:pPr>
      <w:r w:rsidRPr="00557292">
        <w:rPr>
          <w:rFonts w:ascii="Arial Narrow" w:hAnsi="Arial Narrow"/>
        </w:rPr>
        <w:t>Time: 3:30-5:30pm</w:t>
      </w:r>
    </w:p>
    <w:p w14:paraId="430D5C4F" w14:textId="77777777" w:rsidR="00557292" w:rsidRPr="00EE1A47" w:rsidRDefault="00557292" w:rsidP="00557292">
      <w:pPr>
        <w:spacing w:line="240" w:lineRule="auto"/>
        <w:jc w:val="center"/>
        <w:rPr>
          <w:rFonts w:ascii="Arial Narrow" w:hAnsi="Arial Narrow"/>
        </w:rPr>
      </w:pPr>
      <w:bookmarkStart w:id="0" w:name="_GoBack"/>
      <w:r w:rsidRPr="00EE1A47">
        <w:rPr>
          <w:rFonts w:ascii="Arial Narrow" w:hAnsi="Arial Narrow"/>
        </w:rPr>
        <w:t>**QCH will stay until 6pm**</w:t>
      </w:r>
    </w:p>
    <w:bookmarkEnd w:id="0"/>
    <w:p w14:paraId="729B2693" w14:textId="77777777" w:rsidR="008E057C" w:rsidRPr="00557292" w:rsidRDefault="008E057C" w:rsidP="00557292">
      <w:pPr>
        <w:spacing w:line="240" w:lineRule="auto"/>
        <w:jc w:val="center"/>
        <w:rPr>
          <w:rFonts w:ascii="Arial Narrow" w:hAnsi="Arial Narrow"/>
        </w:rPr>
      </w:pPr>
      <w:r w:rsidRPr="00557292">
        <w:rPr>
          <w:rFonts w:ascii="Arial Narrow" w:hAnsi="Arial Narrow"/>
        </w:rPr>
        <w:t>Location: PS 499, Cafeteria</w:t>
      </w:r>
    </w:p>
    <w:p w14:paraId="4523DA7A" w14:textId="77777777" w:rsidR="008E057C" w:rsidRPr="00557292" w:rsidRDefault="008E057C" w:rsidP="00557292">
      <w:pPr>
        <w:spacing w:line="240" w:lineRule="auto"/>
        <w:rPr>
          <w:rFonts w:ascii="Arial Narrow" w:hAnsi="Arial Narrow"/>
        </w:rPr>
      </w:pPr>
      <w:r w:rsidRPr="00557292">
        <w:rPr>
          <w:rFonts w:ascii="Arial Narrow" w:hAnsi="Arial Narrow"/>
        </w:rPr>
        <w:t>Please note that currently QCH does not have enough children to proceed with the anticipated after school program that was slated to start on October 15</w:t>
      </w:r>
      <w:r w:rsidRPr="00557292">
        <w:rPr>
          <w:rFonts w:ascii="Arial Narrow" w:hAnsi="Arial Narrow"/>
          <w:vertAlign w:val="superscript"/>
        </w:rPr>
        <w:t>th</w:t>
      </w:r>
      <w:r w:rsidRPr="00557292">
        <w:rPr>
          <w:rFonts w:ascii="Arial Narrow" w:hAnsi="Arial Narrow"/>
        </w:rPr>
        <w:t xml:space="preserve"> as previously indicated through flyers.  Therefore, </w:t>
      </w:r>
      <w:r w:rsidR="004B3772" w:rsidRPr="00557292">
        <w:rPr>
          <w:rFonts w:ascii="Arial Narrow" w:hAnsi="Arial Narrow"/>
        </w:rPr>
        <w:t>it is vital that if you are interested in attaining more information as we</w:t>
      </w:r>
      <w:r w:rsidRPr="00557292">
        <w:rPr>
          <w:rFonts w:ascii="Arial Narrow" w:hAnsi="Arial Narrow"/>
        </w:rPr>
        <w:t>ll as register</w:t>
      </w:r>
      <w:r w:rsidR="004B3772" w:rsidRPr="00557292">
        <w:rPr>
          <w:rFonts w:ascii="Arial Narrow" w:hAnsi="Arial Narrow"/>
        </w:rPr>
        <w:t>ing</w:t>
      </w:r>
      <w:r w:rsidRPr="00557292">
        <w:rPr>
          <w:rFonts w:ascii="Arial Narrow" w:hAnsi="Arial Narrow"/>
        </w:rPr>
        <w:t xml:space="preserve"> your child</w:t>
      </w:r>
      <w:r w:rsidR="004B3772" w:rsidRPr="00557292">
        <w:rPr>
          <w:rFonts w:ascii="Arial Narrow" w:hAnsi="Arial Narrow"/>
        </w:rPr>
        <w:t>(ren)</w:t>
      </w:r>
      <w:r w:rsidR="00012DF4" w:rsidRPr="00557292">
        <w:rPr>
          <w:rFonts w:ascii="Arial Narrow" w:hAnsi="Arial Narrow"/>
        </w:rPr>
        <w:t xml:space="preserve"> for after school you attend this session. Form of payment can be via check or money order only on this date.  </w:t>
      </w:r>
      <w:r w:rsidRPr="00557292">
        <w:rPr>
          <w:rFonts w:ascii="Arial Narrow" w:hAnsi="Arial Narrow"/>
        </w:rPr>
        <w:t xml:space="preserve">The new tentative </w:t>
      </w:r>
      <w:r w:rsidR="00012DF4" w:rsidRPr="00557292">
        <w:rPr>
          <w:rFonts w:ascii="Arial Narrow" w:hAnsi="Arial Narrow"/>
        </w:rPr>
        <w:t xml:space="preserve">start </w:t>
      </w:r>
      <w:r w:rsidRPr="00557292">
        <w:rPr>
          <w:rFonts w:ascii="Arial Narrow" w:hAnsi="Arial Narrow"/>
        </w:rPr>
        <w:t>date will be November 5</w:t>
      </w:r>
      <w:r w:rsidRPr="00557292">
        <w:rPr>
          <w:rFonts w:ascii="Arial Narrow" w:hAnsi="Arial Narrow"/>
          <w:vertAlign w:val="superscript"/>
        </w:rPr>
        <w:t>th</w:t>
      </w:r>
      <w:r w:rsidRPr="00557292">
        <w:rPr>
          <w:rFonts w:ascii="Arial Narrow" w:hAnsi="Arial Narrow"/>
        </w:rPr>
        <w:t xml:space="preserve">, 2018. </w:t>
      </w:r>
      <w:r w:rsidRPr="00557292">
        <w:rPr>
          <w:rFonts w:ascii="Arial Narrow" w:hAnsi="Arial Narrow"/>
          <w:b/>
        </w:rPr>
        <w:t>***We want to stress that QCH will only be able to start the program if there are at least 40 participants***</w:t>
      </w:r>
    </w:p>
    <w:p w14:paraId="0B814494" w14:textId="77777777" w:rsidR="00D57682" w:rsidRPr="00557292" w:rsidRDefault="008E057C" w:rsidP="00557292">
      <w:pPr>
        <w:spacing w:line="240" w:lineRule="auto"/>
        <w:rPr>
          <w:rFonts w:ascii="Arial Narrow" w:hAnsi="Arial Narrow"/>
        </w:rPr>
      </w:pPr>
      <w:r w:rsidRPr="00557292">
        <w:rPr>
          <w:rFonts w:ascii="Arial Narrow" w:hAnsi="Arial Narrow"/>
        </w:rPr>
        <w:t xml:space="preserve">We have also heard the request to have four payments rather than three. This has been brought to QCHs attention and they have agreed </w:t>
      </w:r>
      <w:r w:rsidR="00D57682" w:rsidRPr="00557292">
        <w:rPr>
          <w:rFonts w:ascii="Arial Narrow" w:hAnsi="Arial Narrow"/>
        </w:rPr>
        <w:t>to four payments rather than</w:t>
      </w:r>
      <w:r w:rsidR="004B3772" w:rsidRPr="00557292">
        <w:rPr>
          <w:rFonts w:ascii="Arial Narrow" w:hAnsi="Arial Narrow"/>
        </w:rPr>
        <w:t xml:space="preserve"> three. </w:t>
      </w:r>
      <w:r w:rsidR="00012DF4" w:rsidRPr="00557292">
        <w:rPr>
          <w:rFonts w:ascii="Arial Narrow" w:hAnsi="Arial Narrow"/>
        </w:rPr>
        <w:t xml:space="preserve">Due to the </w:t>
      </w:r>
      <w:r w:rsidR="00D57682" w:rsidRPr="00557292">
        <w:rPr>
          <w:rFonts w:ascii="Arial Narrow" w:hAnsi="Arial Narrow"/>
        </w:rPr>
        <w:t xml:space="preserve">tentative start date of the </w:t>
      </w:r>
      <w:r w:rsidR="00012DF4" w:rsidRPr="00557292">
        <w:rPr>
          <w:rFonts w:ascii="Arial Narrow" w:hAnsi="Arial Narrow"/>
        </w:rPr>
        <w:t>program being</w:t>
      </w:r>
      <w:r w:rsidR="00D57682" w:rsidRPr="00557292">
        <w:rPr>
          <w:rFonts w:ascii="Arial Narrow" w:hAnsi="Arial Narrow"/>
        </w:rPr>
        <w:t xml:space="preserve"> November 5</w:t>
      </w:r>
      <w:r w:rsidR="00D57682" w:rsidRPr="00557292">
        <w:rPr>
          <w:rFonts w:ascii="Arial Narrow" w:hAnsi="Arial Narrow"/>
          <w:vertAlign w:val="superscript"/>
        </w:rPr>
        <w:t>th</w:t>
      </w:r>
      <w:r w:rsidR="00D57682" w:rsidRPr="00557292">
        <w:rPr>
          <w:rFonts w:ascii="Arial Narrow" w:hAnsi="Arial Narrow"/>
        </w:rPr>
        <w:t>; the after school tuition has been pro-rated to reflect this change. The new tuition for school year 2018-2019 is as follows:</w:t>
      </w:r>
    </w:p>
    <w:p w14:paraId="79309577" w14:textId="77777777" w:rsidR="00884473" w:rsidRPr="00557292" w:rsidRDefault="004B3772" w:rsidP="00557292">
      <w:pPr>
        <w:spacing w:line="240" w:lineRule="auto"/>
        <w:rPr>
          <w:rFonts w:ascii="Arial Narrow" w:hAnsi="Arial Narrow"/>
        </w:rPr>
      </w:pPr>
      <w:r w:rsidRPr="00557292">
        <w:rPr>
          <w:rFonts w:ascii="Arial Narrow" w:hAnsi="Arial Narrow"/>
        </w:rPr>
        <w:t xml:space="preserve">One payment for </w:t>
      </w:r>
      <w:r w:rsidR="00D57682" w:rsidRPr="00557292">
        <w:rPr>
          <w:rFonts w:ascii="Arial Narrow" w:hAnsi="Arial Narrow"/>
        </w:rPr>
        <w:t>1 child: $2,600</w:t>
      </w:r>
      <w:r w:rsidRPr="00557292">
        <w:rPr>
          <w:rFonts w:ascii="Arial Narrow" w:hAnsi="Arial Narrow" w:cs="Arial"/>
          <w:color w:val="222222"/>
        </w:rPr>
        <w:t>; $2,400 for siblings </w:t>
      </w:r>
      <w:r w:rsidRPr="00557292">
        <w:rPr>
          <w:rFonts w:ascii="Arial Narrow" w:hAnsi="Arial Narrow"/>
        </w:rPr>
        <w:t xml:space="preserve">      </w:t>
      </w:r>
    </w:p>
    <w:tbl>
      <w:tblPr>
        <w:tblpPr w:leftFromText="180" w:rightFromText="180" w:vertAnchor="text" w:horzAnchor="margin" w:tblpY="-3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260"/>
        <w:gridCol w:w="1800"/>
        <w:gridCol w:w="1440"/>
        <w:gridCol w:w="1880"/>
      </w:tblGrid>
      <w:tr w:rsidR="004B3772" w:rsidRPr="00356DB2" w14:paraId="353DBE4D" w14:textId="77777777" w:rsidTr="004B3772">
        <w:trPr>
          <w:trHeight w:val="260"/>
        </w:trPr>
        <w:tc>
          <w:tcPr>
            <w:tcW w:w="9355" w:type="dxa"/>
            <w:gridSpan w:val="5"/>
          </w:tcPr>
          <w:p w14:paraId="57E2DCCE" w14:textId="77777777" w:rsidR="004B3772" w:rsidRPr="00356DB2" w:rsidRDefault="004B3772" w:rsidP="004B37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6DB2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356DB2">
              <w:rPr>
                <w:rFonts w:cs="Arial"/>
                <w:b/>
                <w:sz w:val="20"/>
                <w:szCs w:val="20"/>
              </w:rPr>
              <w:t>-201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356DB2">
              <w:rPr>
                <w:rFonts w:cs="Arial"/>
                <w:b/>
                <w:sz w:val="20"/>
                <w:szCs w:val="20"/>
              </w:rPr>
              <w:t xml:space="preserve"> School Year Payment Schedule </w:t>
            </w:r>
          </w:p>
        </w:tc>
      </w:tr>
      <w:tr w:rsidR="004B3772" w:rsidRPr="00356DB2" w14:paraId="4C3E61F7" w14:textId="77777777" w:rsidTr="004B3772">
        <w:tc>
          <w:tcPr>
            <w:tcW w:w="2975" w:type="dxa"/>
          </w:tcPr>
          <w:p w14:paraId="1CBA664B" w14:textId="77777777" w:rsidR="004B3772" w:rsidRPr="004B3772" w:rsidRDefault="004B3772" w:rsidP="004B3772">
            <w:pPr>
              <w:jc w:val="center"/>
              <w:rPr>
                <w:rFonts w:cs="Arial"/>
                <w:sz w:val="18"/>
                <w:szCs w:val="18"/>
              </w:rPr>
            </w:pPr>
            <w:r w:rsidRPr="004B3772">
              <w:rPr>
                <w:rFonts w:cs="Arial"/>
                <w:b/>
                <w:sz w:val="18"/>
                <w:szCs w:val="18"/>
              </w:rPr>
              <w:t>Period</w:t>
            </w:r>
          </w:p>
        </w:tc>
        <w:tc>
          <w:tcPr>
            <w:tcW w:w="1260" w:type="dxa"/>
          </w:tcPr>
          <w:p w14:paraId="35F30850" w14:textId="77777777" w:rsidR="004B3772" w:rsidRPr="004B3772" w:rsidRDefault="004B3772" w:rsidP="004B37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3772">
              <w:rPr>
                <w:rFonts w:cs="Arial"/>
                <w:b/>
                <w:sz w:val="18"/>
                <w:szCs w:val="18"/>
              </w:rPr>
              <w:t>Invoice Date</w:t>
            </w:r>
          </w:p>
        </w:tc>
        <w:tc>
          <w:tcPr>
            <w:tcW w:w="1800" w:type="dxa"/>
          </w:tcPr>
          <w:p w14:paraId="4792C053" w14:textId="77777777" w:rsidR="004B3772" w:rsidRPr="004B3772" w:rsidRDefault="004B3772" w:rsidP="004B37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3772">
              <w:rPr>
                <w:rFonts w:cs="Arial"/>
                <w:b/>
                <w:sz w:val="18"/>
                <w:szCs w:val="18"/>
              </w:rPr>
              <w:t>Payment Due No Later Than</w:t>
            </w:r>
          </w:p>
        </w:tc>
        <w:tc>
          <w:tcPr>
            <w:tcW w:w="1440" w:type="dxa"/>
          </w:tcPr>
          <w:p w14:paraId="63E91321" w14:textId="77777777" w:rsidR="004B3772" w:rsidRPr="004B3772" w:rsidRDefault="004B3772" w:rsidP="004B37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3772">
              <w:rPr>
                <w:rFonts w:cs="Arial"/>
                <w:b/>
                <w:sz w:val="18"/>
                <w:szCs w:val="18"/>
              </w:rPr>
              <w:t>Cost</w:t>
            </w:r>
          </w:p>
        </w:tc>
        <w:tc>
          <w:tcPr>
            <w:tcW w:w="1880" w:type="dxa"/>
          </w:tcPr>
          <w:p w14:paraId="7F8FD72A" w14:textId="77777777" w:rsidR="004B3772" w:rsidRPr="004B3772" w:rsidRDefault="004B3772" w:rsidP="004B377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3772">
              <w:rPr>
                <w:rFonts w:cs="Arial"/>
                <w:b/>
                <w:sz w:val="18"/>
                <w:szCs w:val="18"/>
              </w:rPr>
              <w:t>Cost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4B3772">
              <w:rPr>
                <w:rFonts w:cs="Arial"/>
                <w:b/>
                <w:sz w:val="18"/>
                <w:szCs w:val="18"/>
              </w:rPr>
              <w:t>For Siblings</w:t>
            </w:r>
          </w:p>
        </w:tc>
      </w:tr>
      <w:tr w:rsidR="004B3772" w:rsidRPr="00356DB2" w14:paraId="04022369" w14:textId="77777777" w:rsidTr="004B3772">
        <w:trPr>
          <w:trHeight w:val="503"/>
        </w:trPr>
        <w:tc>
          <w:tcPr>
            <w:tcW w:w="2975" w:type="dxa"/>
          </w:tcPr>
          <w:p w14:paraId="10411660" w14:textId="77777777" w:rsidR="004B3772" w:rsidRPr="005C6076" w:rsidRDefault="004B3772" w:rsidP="004B3772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rFonts w:cs="Arial"/>
                <w:sz w:val="20"/>
                <w:szCs w:val="20"/>
                <w:highlight w:val="cyan"/>
              </w:rPr>
              <w:t xml:space="preserve">October </w:t>
            </w:r>
            <w:r w:rsidRPr="005C6076">
              <w:rPr>
                <w:rFonts w:cs="Arial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260" w:type="dxa"/>
            <w:shd w:val="clear" w:color="auto" w:fill="000000" w:themeFill="text1"/>
          </w:tcPr>
          <w:p w14:paraId="2C042BF4" w14:textId="77777777" w:rsidR="004B3772" w:rsidRPr="005C6076" w:rsidRDefault="004B3772" w:rsidP="004B3772">
            <w:pPr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</w:tcPr>
          <w:p w14:paraId="371709A1" w14:textId="77777777" w:rsidR="004B3772" w:rsidRPr="005C6076" w:rsidRDefault="004B3772" w:rsidP="004B3772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  <w:r w:rsidRPr="005C6076">
              <w:rPr>
                <w:rFonts w:cs="Arial"/>
                <w:sz w:val="20"/>
                <w:szCs w:val="20"/>
                <w:highlight w:val="cyan"/>
              </w:rPr>
              <w:t>Upon registration</w:t>
            </w:r>
          </w:p>
        </w:tc>
        <w:tc>
          <w:tcPr>
            <w:tcW w:w="1440" w:type="dxa"/>
          </w:tcPr>
          <w:p w14:paraId="09D9451A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$672.50</w:t>
            </w:r>
          </w:p>
        </w:tc>
        <w:tc>
          <w:tcPr>
            <w:tcW w:w="1880" w:type="dxa"/>
          </w:tcPr>
          <w:p w14:paraId="6F3CA13A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$622.50</w:t>
            </w:r>
          </w:p>
        </w:tc>
      </w:tr>
      <w:tr w:rsidR="004B3772" w:rsidRPr="00356DB2" w14:paraId="020C1C81" w14:textId="77777777" w:rsidTr="004B3772">
        <w:tc>
          <w:tcPr>
            <w:tcW w:w="2975" w:type="dxa"/>
          </w:tcPr>
          <w:p w14:paraId="61153800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 w:rsidRPr="00356DB2">
              <w:rPr>
                <w:rFonts w:cs="Arial"/>
                <w:sz w:val="20"/>
                <w:szCs w:val="20"/>
              </w:rPr>
              <w:t>December</w:t>
            </w:r>
          </w:p>
        </w:tc>
        <w:tc>
          <w:tcPr>
            <w:tcW w:w="1260" w:type="dxa"/>
          </w:tcPr>
          <w:p w14:paraId="0612556F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 w:rsidRPr="00356DB2">
              <w:rPr>
                <w:rFonts w:cs="Arial"/>
                <w:sz w:val="20"/>
                <w:szCs w:val="20"/>
              </w:rPr>
              <w:t>12/1/1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0864395A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12/5</w:t>
            </w:r>
            <w:r w:rsidRPr="00356DB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07F8E3C0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$672.50</w:t>
            </w:r>
          </w:p>
        </w:tc>
        <w:tc>
          <w:tcPr>
            <w:tcW w:w="1880" w:type="dxa"/>
          </w:tcPr>
          <w:p w14:paraId="7245FD1C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$622.50</w:t>
            </w:r>
          </w:p>
        </w:tc>
      </w:tr>
      <w:tr w:rsidR="004B3772" w:rsidRPr="00356DB2" w14:paraId="29AA8ADF" w14:textId="77777777" w:rsidTr="004B3772">
        <w:tc>
          <w:tcPr>
            <w:tcW w:w="2975" w:type="dxa"/>
          </w:tcPr>
          <w:p w14:paraId="25AE21C2" w14:textId="77777777" w:rsidR="004B3772" w:rsidRPr="00356DB2" w:rsidRDefault="00557292" w:rsidP="005572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February </w:t>
            </w:r>
            <w:r w:rsidR="004B377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451DF5B" w14:textId="77777777" w:rsidR="004B3772" w:rsidRPr="00356DB2" w:rsidRDefault="004B3772" w:rsidP="00557292">
            <w:pPr>
              <w:jc w:val="center"/>
              <w:rPr>
                <w:rFonts w:cs="Arial"/>
                <w:sz w:val="20"/>
                <w:szCs w:val="20"/>
              </w:rPr>
            </w:pPr>
            <w:r w:rsidRPr="00356DB2">
              <w:rPr>
                <w:rFonts w:cs="Arial"/>
                <w:sz w:val="20"/>
                <w:szCs w:val="20"/>
              </w:rPr>
              <w:t>0</w:t>
            </w:r>
            <w:r w:rsidR="00557292">
              <w:rPr>
                <w:rFonts w:cs="Arial"/>
                <w:sz w:val="20"/>
                <w:szCs w:val="20"/>
              </w:rPr>
              <w:t>2</w:t>
            </w:r>
            <w:r w:rsidRPr="00356DB2">
              <w:rPr>
                <w:rFonts w:cs="Arial"/>
                <w:sz w:val="20"/>
                <w:szCs w:val="20"/>
              </w:rPr>
              <w:t>/1/1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14:paraId="73F2624C" w14:textId="77777777" w:rsidR="004B3772" w:rsidRPr="00356DB2" w:rsidRDefault="004B3772" w:rsidP="005572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5729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/05</w:t>
            </w:r>
            <w:r w:rsidRPr="00356DB2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34B1FF50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$672.50</w:t>
            </w:r>
          </w:p>
        </w:tc>
        <w:tc>
          <w:tcPr>
            <w:tcW w:w="1880" w:type="dxa"/>
          </w:tcPr>
          <w:p w14:paraId="2B9C63B9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$622.50</w:t>
            </w:r>
          </w:p>
        </w:tc>
      </w:tr>
      <w:tr w:rsidR="004B3772" w:rsidRPr="00356DB2" w14:paraId="4E0AEF28" w14:textId="77777777" w:rsidTr="004B3772">
        <w:tc>
          <w:tcPr>
            <w:tcW w:w="2975" w:type="dxa"/>
          </w:tcPr>
          <w:p w14:paraId="0E9E5E9D" w14:textId="77777777" w:rsidR="004B377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57292">
              <w:rPr>
                <w:rFonts w:cs="Arial"/>
                <w:sz w:val="20"/>
                <w:szCs w:val="20"/>
              </w:rPr>
              <w:t xml:space="preserve">March </w:t>
            </w:r>
          </w:p>
        </w:tc>
        <w:tc>
          <w:tcPr>
            <w:tcW w:w="1260" w:type="dxa"/>
          </w:tcPr>
          <w:p w14:paraId="6CA05917" w14:textId="77777777" w:rsidR="004B3772" w:rsidRPr="00356DB2" w:rsidRDefault="004B3772" w:rsidP="005572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5729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/01/19</w:t>
            </w:r>
          </w:p>
        </w:tc>
        <w:tc>
          <w:tcPr>
            <w:tcW w:w="1800" w:type="dxa"/>
          </w:tcPr>
          <w:p w14:paraId="5E86C010" w14:textId="77777777" w:rsidR="004B3772" w:rsidRDefault="004B3772" w:rsidP="005572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55729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/05/19</w:t>
            </w:r>
          </w:p>
        </w:tc>
        <w:tc>
          <w:tcPr>
            <w:tcW w:w="1440" w:type="dxa"/>
          </w:tcPr>
          <w:p w14:paraId="728317A0" w14:textId="77777777" w:rsidR="004B3772" w:rsidRPr="00356DB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$672.50</w:t>
            </w:r>
          </w:p>
        </w:tc>
        <w:tc>
          <w:tcPr>
            <w:tcW w:w="1880" w:type="dxa"/>
          </w:tcPr>
          <w:p w14:paraId="2A2E51F5" w14:textId="77777777" w:rsidR="004B3772" w:rsidRDefault="004B3772" w:rsidP="004B37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$622.50</w:t>
            </w:r>
          </w:p>
        </w:tc>
      </w:tr>
      <w:tr w:rsidR="0019659B" w:rsidRPr="00356DB2" w14:paraId="573E1705" w14:textId="77777777" w:rsidTr="004B3772">
        <w:tc>
          <w:tcPr>
            <w:tcW w:w="2975" w:type="dxa"/>
          </w:tcPr>
          <w:p w14:paraId="0015A23A" w14:textId="77777777" w:rsidR="0019659B" w:rsidRDefault="0019659B" w:rsidP="004B37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D3494" w14:textId="77777777" w:rsidR="0019659B" w:rsidRDefault="0019659B" w:rsidP="005572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D703BD" w14:textId="77777777" w:rsidR="0019659B" w:rsidRDefault="0019659B" w:rsidP="005572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B70EF9" w14:textId="77777777" w:rsidR="0019659B" w:rsidRDefault="0019659B" w:rsidP="004B37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54C651D4" w14:textId="77777777" w:rsidR="0019659B" w:rsidRDefault="0019659B" w:rsidP="004B37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81D40E5" w14:textId="0405EEF7" w:rsidR="0019659B" w:rsidRDefault="0019659B"/>
    <w:p w14:paraId="1D3E738C" w14:textId="77777777" w:rsidR="0019659B" w:rsidRPr="0019659B" w:rsidRDefault="0019659B" w:rsidP="0019659B"/>
    <w:p w14:paraId="58A84168" w14:textId="77777777" w:rsidR="0019659B" w:rsidRPr="0019659B" w:rsidRDefault="0019659B" w:rsidP="0019659B"/>
    <w:p w14:paraId="0232E89B" w14:textId="77777777" w:rsidR="0019659B" w:rsidRPr="0019659B" w:rsidRDefault="0019659B" w:rsidP="0019659B"/>
    <w:p w14:paraId="35BCD9A4" w14:textId="77777777" w:rsidR="0019659B" w:rsidRPr="0019659B" w:rsidRDefault="0019659B" w:rsidP="0019659B"/>
    <w:p w14:paraId="081FEE69" w14:textId="77777777" w:rsidR="0019659B" w:rsidRPr="0019659B" w:rsidRDefault="0019659B" w:rsidP="0019659B"/>
    <w:p w14:paraId="68E3A390" w14:textId="0006C274" w:rsidR="0019659B" w:rsidRDefault="0019659B" w:rsidP="0019659B">
      <w:pPr>
        <w:jc w:val="right"/>
      </w:pPr>
    </w:p>
    <w:p w14:paraId="1E5E8847" w14:textId="2B9EBEBF" w:rsidR="0019659B" w:rsidRDefault="0019659B" w:rsidP="0019659B">
      <w:pPr>
        <w:jc w:val="right"/>
      </w:pPr>
    </w:p>
    <w:p w14:paraId="04087A49" w14:textId="0A3784C7" w:rsidR="0019659B" w:rsidRPr="00B7644E" w:rsidRDefault="0019659B" w:rsidP="00B7644E">
      <w:pPr>
        <w:pStyle w:val="NoSpacing"/>
        <w:rPr>
          <w:rFonts w:ascii="Arial Narrow" w:hAnsi="Arial Narrow"/>
          <w:b/>
        </w:rPr>
      </w:pPr>
      <w:r w:rsidRPr="00B7644E">
        <w:rPr>
          <w:rFonts w:ascii="Arial Narrow" w:hAnsi="Arial Narrow"/>
          <w:b/>
          <w:color w:val="FF0000"/>
        </w:rPr>
        <w:t>PLEASE BE ADVISED:</w:t>
      </w:r>
    </w:p>
    <w:p w14:paraId="0EED85D6" w14:textId="003980B6" w:rsidR="0019659B" w:rsidRDefault="00B7644E" w:rsidP="00B7644E">
      <w:pPr>
        <w:pStyle w:val="NoSpacing"/>
        <w:rPr>
          <w:rFonts w:ascii="Arial Narrow" w:hAnsi="Arial Narrow"/>
          <w:b/>
        </w:rPr>
      </w:pPr>
      <w:r w:rsidRPr="00B7644E">
        <w:rPr>
          <w:rFonts w:ascii="Arial Narrow" w:hAnsi="Arial Narrow"/>
          <w:b/>
        </w:rPr>
        <w:t>DUE TO THE CHANGE IN PRICES THE NEW LINK WILL NOT BE IN EFFECT AND AN EMAIL BLAST WILL BE SENT OUT ONCE THE LINK REFLECTS THE NEW PRICES.</w:t>
      </w:r>
    </w:p>
    <w:p w14:paraId="3D3D9BE6" w14:textId="7F92AE7A" w:rsidR="00B7644E" w:rsidRDefault="00B7644E" w:rsidP="00B7644E">
      <w:pPr>
        <w:pStyle w:val="NoSpacing"/>
        <w:rPr>
          <w:rFonts w:ascii="Arial Narrow" w:hAnsi="Arial Narrow"/>
          <w:b/>
        </w:rPr>
      </w:pPr>
    </w:p>
    <w:p w14:paraId="393C7C0D" w14:textId="4B39A5E6" w:rsidR="00B7644E" w:rsidRDefault="00B7644E" w:rsidP="00B7644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Respectfully,</w:t>
      </w:r>
    </w:p>
    <w:p w14:paraId="7D9E38B9" w14:textId="1A73D119" w:rsidR="00B7644E" w:rsidRDefault="00B7644E" w:rsidP="00B7644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Sugar B. Wright</w:t>
      </w:r>
    </w:p>
    <w:p w14:paraId="682961F4" w14:textId="7851D53F" w:rsidR="00B7644E" w:rsidRPr="00B7644E" w:rsidRDefault="00B7644E" w:rsidP="00B7644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PTA President</w:t>
      </w:r>
    </w:p>
    <w:sectPr w:rsidR="00B7644E" w:rsidRPr="00B7644E" w:rsidSect="00557292">
      <w:pgSz w:w="12240" w:h="15840"/>
      <w:pgMar w:top="144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04"/>
    <w:rsid w:val="00012DF4"/>
    <w:rsid w:val="00152C46"/>
    <w:rsid w:val="0019659B"/>
    <w:rsid w:val="002724D7"/>
    <w:rsid w:val="003514B4"/>
    <w:rsid w:val="004B3772"/>
    <w:rsid w:val="00557292"/>
    <w:rsid w:val="0075068D"/>
    <w:rsid w:val="00884473"/>
    <w:rsid w:val="008E057C"/>
    <w:rsid w:val="00B7644E"/>
    <w:rsid w:val="00D50704"/>
    <w:rsid w:val="00D57682"/>
    <w:rsid w:val="00D8262B"/>
    <w:rsid w:val="00E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8FB9"/>
  <w15:chartTrackingRefBased/>
  <w15:docId w15:val="{D058362B-FE31-4EC6-A3EC-2B22C09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Leydy Avila</dc:creator>
  <cp:keywords/>
  <dc:description/>
  <cp:lastModifiedBy>Sugar B</cp:lastModifiedBy>
  <cp:revision>2</cp:revision>
  <cp:lastPrinted>2018-10-02T22:47:00Z</cp:lastPrinted>
  <dcterms:created xsi:type="dcterms:W3CDTF">2018-10-03T15:10:00Z</dcterms:created>
  <dcterms:modified xsi:type="dcterms:W3CDTF">2018-10-03T15:10:00Z</dcterms:modified>
</cp:coreProperties>
</file>